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BFE3">
      <w:pPr>
        <w:rPr>
          <w:rFonts w:hint="eastAsia"/>
          <w:color w:val="auto"/>
          <w:sz w:val="28"/>
          <w:szCs w:val="36"/>
          <w:lang w:val="en-US" w:eastAsia="zh-CN"/>
        </w:rPr>
      </w:pPr>
      <w:r>
        <w:rPr>
          <w:rFonts w:hint="eastAsia"/>
          <w:sz w:val="28"/>
          <w:szCs w:val="36"/>
          <w:lang w:val="en-US" w:eastAsia="zh-CN"/>
        </w:rPr>
        <w:t>一、参数要求：</w:t>
      </w:r>
    </w:p>
    <w:tbl>
      <w:tblPr>
        <w:tblStyle w:val="6"/>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20"/>
        <w:gridCol w:w="5575"/>
        <w:gridCol w:w="835"/>
        <w:gridCol w:w="832"/>
      </w:tblGrid>
      <w:tr w14:paraId="5CD3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blHeader/>
          <w:jc w:val="center"/>
        </w:trPr>
        <w:tc>
          <w:tcPr>
            <w:tcW w:w="749" w:type="dxa"/>
            <w:vAlign w:val="center"/>
          </w:tcPr>
          <w:p w14:paraId="664784E0">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620" w:type="dxa"/>
            <w:vAlign w:val="center"/>
          </w:tcPr>
          <w:p w14:paraId="0E998BF8">
            <w:pPr>
              <w:spacing w:line="360" w:lineRule="auto"/>
              <w:jc w:val="center"/>
              <w:rPr>
                <w:rFonts w:ascii="宋体" w:hAnsi="宋体" w:cs="宋体"/>
                <w:b/>
                <w:bCs/>
                <w:color w:val="auto"/>
                <w:sz w:val="24"/>
                <w:highlight w:val="yellow"/>
              </w:rPr>
            </w:pPr>
            <w:r>
              <w:rPr>
                <w:rFonts w:hint="eastAsia" w:ascii="宋体" w:hAnsi="宋体" w:cs="宋体"/>
                <w:b/>
                <w:bCs/>
                <w:color w:val="auto"/>
                <w:sz w:val="24"/>
              </w:rPr>
              <w:t>标的名称</w:t>
            </w:r>
          </w:p>
        </w:tc>
        <w:tc>
          <w:tcPr>
            <w:tcW w:w="5575" w:type="dxa"/>
            <w:vAlign w:val="center"/>
          </w:tcPr>
          <w:p w14:paraId="08789F26">
            <w:pPr>
              <w:spacing w:line="360" w:lineRule="auto"/>
              <w:jc w:val="center"/>
              <w:rPr>
                <w:rFonts w:ascii="宋体" w:hAnsi="宋体" w:cs="宋体"/>
                <w:b/>
                <w:bCs/>
                <w:color w:val="auto"/>
                <w:sz w:val="24"/>
                <w:highlight w:val="yellow"/>
              </w:rPr>
            </w:pPr>
            <w:r>
              <w:rPr>
                <w:rFonts w:hint="eastAsia" w:ascii="宋体" w:hAnsi="宋体" w:cs="宋体"/>
                <w:b/>
                <w:bCs/>
                <w:color w:val="auto"/>
                <w:sz w:val="24"/>
              </w:rPr>
              <w:t>参数</w:t>
            </w:r>
          </w:p>
        </w:tc>
        <w:tc>
          <w:tcPr>
            <w:tcW w:w="835" w:type="dxa"/>
            <w:vAlign w:val="center"/>
          </w:tcPr>
          <w:p w14:paraId="72FA065D">
            <w:pPr>
              <w:spacing w:line="360" w:lineRule="auto"/>
              <w:jc w:val="center"/>
              <w:rPr>
                <w:rFonts w:ascii="宋体" w:hAnsi="宋体" w:cs="宋体"/>
                <w:b/>
                <w:bCs/>
                <w:color w:val="auto"/>
                <w:sz w:val="24"/>
                <w:highlight w:val="yellow"/>
              </w:rPr>
            </w:pPr>
            <w:r>
              <w:rPr>
                <w:rFonts w:hint="eastAsia" w:ascii="宋体" w:hAnsi="宋体" w:cs="宋体"/>
                <w:b/>
                <w:bCs/>
                <w:color w:val="auto"/>
                <w:sz w:val="24"/>
              </w:rPr>
              <w:t>数量</w:t>
            </w:r>
          </w:p>
        </w:tc>
        <w:tc>
          <w:tcPr>
            <w:tcW w:w="832" w:type="dxa"/>
            <w:vAlign w:val="center"/>
          </w:tcPr>
          <w:p w14:paraId="54EC0F6E">
            <w:pPr>
              <w:spacing w:line="360" w:lineRule="auto"/>
              <w:jc w:val="center"/>
              <w:rPr>
                <w:rFonts w:ascii="宋体" w:hAnsi="宋体" w:cs="宋体"/>
                <w:b/>
                <w:bCs/>
                <w:color w:val="auto"/>
                <w:sz w:val="24"/>
                <w:highlight w:val="yellow"/>
              </w:rPr>
            </w:pPr>
            <w:r>
              <w:rPr>
                <w:rFonts w:hint="eastAsia" w:ascii="宋体" w:hAnsi="宋体" w:cs="宋体"/>
                <w:b/>
                <w:bCs/>
                <w:color w:val="auto"/>
                <w:sz w:val="24"/>
              </w:rPr>
              <w:t>单位</w:t>
            </w:r>
          </w:p>
        </w:tc>
      </w:tr>
      <w:tr w14:paraId="0B8D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9" w:type="dxa"/>
            <w:vAlign w:val="center"/>
          </w:tcPr>
          <w:p w14:paraId="58877FBC">
            <w:pPr>
              <w:spacing w:line="360" w:lineRule="auto"/>
              <w:jc w:val="center"/>
              <w:rPr>
                <w:rFonts w:ascii="宋体" w:hAnsi="宋体" w:cs="宋体"/>
                <w:b/>
                <w:bCs/>
                <w:color w:val="auto"/>
                <w:sz w:val="24"/>
              </w:rPr>
            </w:pPr>
            <w:r>
              <w:rPr>
                <w:rFonts w:hint="eastAsia" w:ascii="宋体" w:hAnsi="宋体" w:cs="宋体"/>
                <w:color w:val="auto"/>
                <w:sz w:val="24"/>
              </w:rPr>
              <w:t>1</w:t>
            </w:r>
          </w:p>
        </w:tc>
        <w:tc>
          <w:tcPr>
            <w:tcW w:w="1620" w:type="dxa"/>
            <w:vAlign w:val="center"/>
          </w:tcPr>
          <w:p w14:paraId="3BB24EF4">
            <w:pPr>
              <w:spacing w:line="360" w:lineRule="auto"/>
              <w:jc w:val="center"/>
              <w:rPr>
                <w:rFonts w:hint="eastAsia" w:ascii="宋体" w:hAnsi="宋体" w:cs="宋体"/>
                <w:color w:val="auto"/>
                <w:kern w:val="0"/>
                <w:sz w:val="24"/>
                <w:lang w:eastAsia="zh-CN"/>
              </w:rPr>
            </w:pPr>
          </w:p>
          <w:p w14:paraId="71C1AE80">
            <w:pPr>
              <w:spacing w:line="360" w:lineRule="auto"/>
              <w:jc w:val="center"/>
              <w:rPr>
                <w:rFonts w:ascii="宋体" w:hAnsi="宋体" w:cs="宋体"/>
                <w:color w:val="auto"/>
                <w:kern w:val="0"/>
                <w:sz w:val="24"/>
              </w:rPr>
            </w:pPr>
            <w:r>
              <w:rPr>
                <w:rFonts w:hint="eastAsia" w:ascii="宋体" w:hAnsi="宋体" w:cs="宋体"/>
                <w:color w:val="auto"/>
                <w:kern w:val="0"/>
                <w:sz w:val="24"/>
              </w:rPr>
              <w:t>脑循环磁电治疗仪</w:t>
            </w:r>
          </w:p>
        </w:tc>
        <w:tc>
          <w:tcPr>
            <w:tcW w:w="5575" w:type="dxa"/>
            <w:vAlign w:val="center"/>
          </w:tcPr>
          <w:p w14:paraId="28B1CF97">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1、磁疗适用范围：适用于缺血性脑血管病、神经症(神经衰弱、脑疲劳症状)、脑损伤性疾病的辅助治疗、在医生指导下使用，辅助改</w:t>
            </w:r>
            <w:bookmarkStart w:id="0" w:name="_GoBack"/>
            <w:bookmarkEnd w:id="0"/>
            <w:r>
              <w:rPr>
                <w:rFonts w:hint="default" w:ascii="宋体" w:hAnsi="宋体" w:eastAsia="宋体" w:cs="宋体"/>
                <w:color w:val="auto"/>
                <w:sz w:val="24"/>
                <w:lang w:val="zh-CN" w:eastAsia="zh-CN"/>
              </w:rPr>
              <w:t xml:space="preserve">善患者失眠症状；  </w:t>
            </w:r>
          </w:p>
          <w:p w14:paraId="0D3338C4">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2</w:t>
            </w:r>
            <w:r>
              <w:rPr>
                <w:rFonts w:hint="default" w:ascii="宋体" w:hAnsi="宋体" w:eastAsia="宋体" w:cs="宋体"/>
                <w:color w:val="auto"/>
                <w:sz w:val="24"/>
                <w:lang w:val="zh-CN" w:eastAsia="zh-CN"/>
              </w:rPr>
              <w:t>、电疗适用范围：通过治疗电流刺激小脑顶核或肢体的神经，以起到改善脑部血液循环的作用，适用于以下疾病的辅助治疗:缺血性脑血管疾病、脑损伤性疾病、小儿脑瘫及由上述疾病引起的肢体运动功能障碍; 偏头痛；</w:t>
            </w:r>
          </w:p>
          <w:p w14:paraId="4CA987C6">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3</w:t>
            </w:r>
            <w:r>
              <w:rPr>
                <w:rFonts w:hint="default" w:ascii="宋体" w:hAnsi="宋体" w:eastAsia="宋体" w:cs="宋体"/>
                <w:color w:val="auto"/>
                <w:sz w:val="24"/>
                <w:lang w:val="zh-CN" w:eastAsia="zh-CN"/>
              </w:rPr>
              <w:t>、主要构成：由一台主机、磁治疗帽、治疗主电极和治疗辅电极组成</w:t>
            </w:r>
          </w:p>
          <w:p w14:paraId="6C92F788">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4</w:t>
            </w:r>
            <w:r>
              <w:rPr>
                <w:rFonts w:hint="default" w:ascii="宋体" w:hAnsi="宋体" w:eastAsia="宋体" w:cs="宋体"/>
                <w:color w:val="auto"/>
                <w:sz w:val="24"/>
                <w:lang w:val="zh-CN" w:eastAsia="zh-CN"/>
              </w:rPr>
              <w:t>、结构形式：不可分拆的柜机推车式</w:t>
            </w:r>
          </w:p>
          <w:p w14:paraId="64634EA5">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5</w:t>
            </w:r>
            <w:r>
              <w:rPr>
                <w:rFonts w:hint="default" w:ascii="宋体" w:hAnsi="宋体" w:eastAsia="宋体" w:cs="宋体"/>
                <w:color w:val="auto"/>
                <w:sz w:val="24"/>
                <w:lang w:val="zh-CN" w:eastAsia="zh-CN"/>
              </w:rPr>
              <w:t>、显示方式：四块液晶屏分别独立显示，互不干扰</w:t>
            </w:r>
          </w:p>
          <w:p w14:paraId="7D98B666">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6</w:t>
            </w:r>
            <w:r>
              <w:rPr>
                <w:rFonts w:hint="default" w:ascii="宋体" w:hAnsi="宋体" w:eastAsia="宋体" w:cs="宋体"/>
                <w:color w:val="auto"/>
                <w:sz w:val="24"/>
                <w:lang w:val="zh-CN" w:eastAsia="zh-CN"/>
              </w:rPr>
              <w:t>、按键方式：一键飞梭的操作方式，提供专利证书作为佐证，所有功能的调节仅需通过对一个键施以旋转及按压动作即可全部完成。</w:t>
            </w:r>
          </w:p>
          <w:p w14:paraId="2B4E2804">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7</w:t>
            </w:r>
            <w:r>
              <w:rPr>
                <w:rFonts w:hint="default" w:ascii="宋体" w:hAnsi="宋体" w:eastAsia="宋体" w:cs="宋体"/>
                <w:color w:val="auto"/>
                <w:sz w:val="24"/>
                <w:lang w:val="zh-CN" w:eastAsia="zh-CN"/>
              </w:rPr>
              <w:t>、治疗功能要求：同时具备交变电磁场治疗帽、仿真生物电刺激小脑顶核（乳突穴）及仿真生物电刺激肢体肌肉神经系统三种功能</w:t>
            </w:r>
          </w:p>
          <w:p w14:paraId="6D3633F9">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8</w:t>
            </w:r>
            <w:r>
              <w:rPr>
                <w:rFonts w:hint="default" w:ascii="宋体" w:hAnsi="宋体" w:eastAsia="宋体" w:cs="宋体"/>
                <w:color w:val="auto"/>
                <w:sz w:val="24"/>
                <w:lang w:val="zh-CN" w:eastAsia="zh-CN"/>
              </w:rPr>
              <w:t xml:space="preserve">、输出路（线）数：2路磁疗；2 路（4线）仿生电刺激小脑顶核（乳突穴）；4 路（8线）仿生电刺激上、下肢； </w:t>
            </w:r>
          </w:p>
          <w:p w14:paraId="3FE110C3">
            <w:pPr>
              <w:spacing w:line="360" w:lineRule="auto"/>
              <w:jc w:val="left"/>
              <w:rPr>
                <w:rFonts w:hint="default" w:ascii="宋体" w:hAnsi="宋体" w:eastAsia="宋体" w:cs="宋体"/>
                <w:color w:val="auto"/>
                <w:sz w:val="24"/>
                <w:lang w:val="zh-CN" w:eastAsia="zh-CN"/>
              </w:rPr>
            </w:pPr>
            <w:r>
              <w:rPr>
                <w:rFonts w:hint="eastAsia" w:ascii="宋体" w:hAnsi="宋体" w:cs="宋体"/>
                <w:color w:val="auto"/>
                <w:sz w:val="24"/>
                <w:lang w:val="en-US" w:eastAsia="zh-CN"/>
              </w:rPr>
              <w:t>9</w:t>
            </w:r>
            <w:r>
              <w:rPr>
                <w:rFonts w:hint="default" w:ascii="宋体" w:hAnsi="宋体" w:eastAsia="宋体" w:cs="宋体"/>
                <w:color w:val="auto"/>
                <w:sz w:val="24"/>
                <w:lang w:val="zh-CN" w:eastAsia="zh-CN"/>
              </w:rPr>
              <w:t>、定时功能：可在1-99min范围内设定所需时间</w:t>
            </w:r>
          </w:p>
          <w:p w14:paraId="02F405F2">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0</w:t>
            </w:r>
            <w:r>
              <w:rPr>
                <w:rFonts w:hint="default" w:ascii="宋体" w:hAnsi="宋体" w:eastAsia="宋体" w:cs="宋体"/>
                <w:color w:val="auto"/>
                <w:sz w:val="24"/>
                <w:lang w:val="zh-CN" w:eastAsia="zh-CN"/>
              </w:rPr>
              <w:t>、磁疗部分</w:t>
            </w:r>
          </w:p>
          <w:p w14:paraId="5E3DE9E0">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0</w:t>
            </w:r>
            <w:r>
              <w:rPr>
                <w:rFonts w:hint="default" w:ascii="宋体" w:hAnsi="宋体" w:eastAsia="宋体" w:cs="宋体"/>
                <w:color w:val="auto"/>
                <w:sz w:val="24"/>
                <w:lang w:val="zh-CN" w:eastAsia="zh-CN"/>
              </w:rPr>
              <w:t>.1、治疗强度： 3-30 mT，最高必须达到30mT</w:t>
            </w:r>
          </w:p>
          <w:p w14:paraId="22A9FBAA">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0</w:t>
            </w:r>
            <w:r>
              <w:rPr>
                <w:rFonts w:hint="default" w:ascii="宋体" w:hAnsi="宋体" w:eastAsia="宋体" w:cs="宋体"/>
                <w:color w:val="auto"/>
                <w:sz w:val="24"/>
                <w:lang w:val="zh-CN" w:eastAsia="zh-CN"/>
              </w:rPr>
              <w:t>.2、微振功能：分四档可调，振频：0-10Hz；振幅：0-30V</w:t>
            </w:r>
          </w:p>
          <w:p w14:paraId="66B1E005">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1</w:t>
            </w:r>
            <w:r>
              <w:rPr>
                <w:rFonts w:hint="default" w:ascii="宋体" w:hAnsi="宋体" w:eastAsia="宋体" w:cs="宋体"/>
                <w:color w:val="auto"/>
                <w:sz w:val="24"/>
                <w:lang w:val="zh-CN" w:eastAsia="zh-CN"/>
              </w:rPr>
              <w:t>、电疗部分</w:t>
            </w:r>
          </w:p>
          <w:p w14:paraId="09DC2811">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1</w:t>
            </w:r>
            <w:r>
              <w:rPr>
                <w:rFonts w:hint="default" w:ascii="宋体" w:hAnsi="宋体" w:eastAsia="宋体" w:cs="宋体"/>
                <w:color w:val="auto"/>
                <w:sz w:val="24"/>
                <w:lang w:val="zh-CN" w:eastAsia="zh-CN"/>
              </w:rPr>
              <w:t>.1、主频谱：≤20KHz</w:t>
            </w:r>
          </w:p>
          <w:p w14:paraId="63F730D0">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1</w:t>
            </w:r>
            <w:r>
              <w:rPr>
                <w:rFonts w:hint="default" w:ascii="宋体" w:hAnsi="宋体" w:eastAsia="宋体" w:cs="宋体"/>
                <w:color w:val="auto"/>
                <w:sz w:val="24"/>
                <w:lang w:val="zh-CN" w:eastAsia="zh-CN"/>
              </w:rPr>
              <w:t>.2、主电极：输出开路的最大电压峰值：＜50V；输出最大电流：≤30mA（最大可达30mA），可调</w:t>
            </w:r>
          </w:p>
          <w:p w14:paraId="7ED33DD5">
            <w:pPr>
              <w:spacing w:line="360" w:lineRule="auto"/>
              <w:jc w:val="left"/>
              <w:rPr>
                <w:rFonts w:hint="default" w:ascii="宋体" w:hAnsi="宋体" w:eastAsia="宋体" w:cs="宋体"/>
                <w:color w:val="auto"/>
                <w:sz w:val="24"/>
                <w:lang w:val="zh-CN" w:eastAsia="zh-CN"/>
              </w:rPr>
            </w:pPr>
            <w:r>
              <w:rPr>
                <w:rFonts w:hint="default" w:ascii="宋体" w:hAnsi="宋体" w:eastAsia="宋体" w:cs="宋体"/>
                <w:color w:val="auto"/>
                <w:sz w:val="24"/>
                <w:lang w:val="zh-CN" w:eastAsia="zh-CN"/>
              </w:rPr>
              <w:t>1</w:t>
            </w:r>
            <w:r>
              <w:rPr>
                <w:rFonts w:hint="eastAsia" w:ascii="宋体" w:hAnsi="宋体" w:cs="宋体"/>
                <w:color w:val="auto"/>
                <w:sz w:val="24"/>
                <w:lang w:val="en-US" w:eastAsia="zh-CN"/>
              </w:rPr>
              <w:t>1</w:t>
            </w:r>
            <w:r>
              <w:rPr>
                <w:rFonts w:hint="default" w:ascii="宋体" w:hAnsi="宋体" w:eastAsia="宋体" w:cs="宋体"/>
                <w:color w:val="auto"/>
                <w:sz w:val="24"/>
                <w:lang w:val="zh-CN" w:eastAsia="zh-CN"/>
              </w:rPr>
              <w:t>.3、辅电极：输出开路的最大电压峰值：＜150V；输出最大电流：≤100mA（最大可达100mA），可调</w:t>
            </w:r>
          </w:p>
        </w:tc>
        <w:tc>
          <w:tcPr>
            <w:tcW w:w="835" w:type="dxa"/>
            <w:vAlign w:val="center"/>
          </w:tcPr>
          <w:p w14:paraId="427CDCB0">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832" w:type="dxa"/>
            <w:vAlign w:val="center"/>
          </w:tcPr>
          <w:p w14:paraId="2A16F152">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台</w:t>
            </w:r>
          </w:p>
        </w:tc>
      </w:tr>
      <w:tr w14:paraId="7358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9" w:type="dxa"/>
            <w:vAlign w:val="center"/>
          </w:tcPr>
          <w:p w14:paraId="6B240298">
            <w:pPr>
              <w:spacing w:line="360" w:lineRule="auto"/>
              <w:jc w:val="center"/>
              <w:rPr>
                <w:rFonts w:ascii="宋体" w:hAnsi="宋体" w:cs="宋体"/>
                <w:color w:val="auto"/>
                <w:sz w:val="24"/>
              </w:rPr>
            </w:pPr>
            <w:r>
              <w:rPr>
                <w:rFonts w:hint="eastAsia" w:ascii="宋体" w:hAnsi="宋体" w:cs="宋体"/>
                <w:color w:val="auto"/>
                <w:sz w:val="24"/>
              </w:rPr>
              <w:t>2</w:t>
            </w:r>
          </w:p>
        </w:tc>
        <w:tc>
          <w:tcPr>
            <w:tcW w:w="1620" w:type="dxa"/>
            <w:vAlign w:val="center"/>
          </w:tcPr>
          <w:p w14:paraId="2CBE0182">
            <w:pPr>
              <w:spacing w:line="360" w:lineRule="auto"/>
              <w:jc w:val="center"/>
              <w:rPr>
                <w:rFonts w:ascii="宋体" w:hAnsi="宋体" w:cs="宋体"/>
                <w:color w:val="auto"/>
                <w:kern w:val="0"/>
                <w:sz w:val="24"/>
              </w:rPr>
            </w:pPr>
            <w:r>
              <w:rPr>
                <w:rFonts w:hint="eastAsia" w:ascii="宋体" w:hAnsi="宋体" w:cs="宋体"/>
                <w:color w:val="auto"/>
                <w:kern w:val="0"/>
                <w:sz w:val="24"/>
                <w:lang w:eastAsia="zh-CN"/>
              </w:rPr>
              <w:t>数字脑电地形图</w:t>
            </w:r>
          </w:p>
        </w:tc>
        <w:tc>
          <w:tcPr>
            <w:tcW w:w="5575" w:type="dxa"/>
            <w:vAlign w:val="center"/>
          </w:tcPr>
          <w:p w14:paraId="5FD15B2B">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1、采用生物电放大器提取脑电波形，可二十四小时连续记录32导脑电图，集成全自动定标系统。</w:t>
            </w:r>
          </w:p>
          <w:p w14:paraId="0650F91C">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2、采用国际标准系统电极放置法，可选择32导、24导、16导联脑电波形采集；回放脑电波形时可以选择变换导联，支持任意导联组合。</w:t>
            </w:r>
          </w:p>
          <w:p w14:paraId="20D6E3FC">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3、可自由设定数字滤波器，多种滤波方法和加窗方法可供选择。</w:t>
            </w:r>
          </w:p>
          <w:p w14:paraId="74F9D8D7">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4、分析软件实时显示脑电波形，可随时冻结波形。</w:t>
            </w:r>
          </w:p>
          <w:p w14:paraId="05839944">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5、分析软件具有脑电图波形回放功能，可随时放大或缩小波形幅度。</w:t>
            </w:r>
          </w:p>
          <w:p w14:paraId="3AFDD6F3">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6、分析软件具有细分时间线功能，将每秒波形细分成至少5段。</w:t>
            </w:r>
          </w:p>
          <w:p w14:paraId="7E3B50FC">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7、分析软件具有脑电信号片断剪辑功能，任意节选脑电波进行分析、存储，可同时选取多段波形进行多种参数自动分析及提取。</w:t>
            </w:r>
          </w:p>
          <w:p w14:paraId="07327B9A">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8、分析软件具有自动分析功能，可快速对指定波形进行功率谱分析和病理波检测，提供多种视图同屏显示，至少包括各种地形图、数值地形图、压缩谱阵及趋势图。</w:t>
            </w:r>
          </w:p>
          <w:p w14:paraId="184C89FE">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9、分析软件将脑电波形至少区分为6个频带，频带分别为：δ：0.8Hz-3.8Hz、θ：4.0Hz-7.8Hz、α1：8.0Hz-9.8Hz、α2：10.0Hz-12.8Hz、β1 ： 13.0Hz-19.8Hz、β2 ：20.0Hz-30.0Hz。</w:t>
            </w:r>
          </w:p>
          <w:p w14:paraId="08459396">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10、分析软件按能量高低至少区分出16级分层地形图。可显示绝对分层脑电地形图和相对分层脑电地形图，并且两种脑电地形图显示至少包括：a）分别显示顶视、左视、右视地形图；b）顶视、左视、右视地形图可各自分6频带6幅图形同屏显示；c）脑电图和对应的地形图同屏显示。</w:t>
            </w:r>
          </w:p>
          <w:p w14:paraId="04CD5AB6">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11、分析软件可显示六频带的直方图、数值百分比图。</w:t>
            </w:r>
          </w:p>
          <w:p w14:paraId="5A920DE8">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12、分析软件可显示某电极的功率谱强度以及任意两导联的压缩谱阵图。</w:t>
            </w:r>
          </w:p>
          <w:p w14:paraId="5BCB9BF9">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13、分析软件具有电子频率标尺，测量任意指定脑电波形基本信息。</w:t>
            </w:r>
          </w:p>
          <w:p w14:paraId="53A9A1AC">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14、分析软件具有事件标记功能，将睁眼、闭眼及闪光等事件下脑电图用不同颜色标记，可增加自定义事件，各种诱发事件波形颜色可任意设定，病历回放时可通过事件名称快速定位相应时刻波形。</w:t>
            </w:r>
          </w:p>
          <w:p w14:paraId="4D829A98">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15、分析软件具有数据接口，支持数据远程传输。</w:t>
            </w:r>
          </w:p>
          <w:p w14:paraId="60DC96A3">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16、提供开放式分析软件，可任意安装多台电脑供用户同时使用。</w:t>
            </w:r>
          </w:p>
          <w:p w14:paraId="6E5B161D">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17、可选配视频系统升级为视频脑电图仪；可选配血氧监测功能。</w:t>
            </w:r>
          </w:p>
          <w:p w14:paraId="64BF74F4">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18、产品设计使用年限</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10年。</w:t>
            </w:r>
          </w:p>
          <w:p w14:paraId="73FD70EF">
            <w:pPr>
              <w:spacing w:line="36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19、配置：脑电采集器1个、脑电导联线1套、桥式脑电电极1套、脑电弹力网帽1个、闪光刺激器1个、脑电分析工作站（含分析软件）1套、台车1个。</w:t>
            </w:r>
          </w:p>
        </w:tc>
        <w:tc>
          <w:tcPr>
            <w:tcW w:w="835" w:type="dxa"/>
            <w:vAlign w:val="center"/>
          </w:tcPr>
          <w:p w14:paraId="5B7A6BF8">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832" w:type="dxa"/>
            <w:vAlign w:val="center"/>
          </w:tcPr>
          <w:p w14:paraId="02FC459B">
            <w:pPr>
              <w:widowControl/>
              <w:jc w:val="center"/>
              <w:textAlignment w:val="center"/>
              <w:rPr>
                <w:rFonts w:ascii="宋体" w:hAnsi="宋体" w:cs="宋体"/>
                <w:color w:val="auto"/>
                <w:sz w:val="24"/>
              </w:rPr>
            </w:pPr>
            <w:r>
              <w:rPr>
                <w:rFonts w:hint="eastAsia" w:ascii="宋体" w:hAnsi="宋体" w:cs="宋体"/>
                <w:color w:val="auto"/>
                <w:sz w:val="24"/>
                <w:lang w:val="en-US" w:eastAsia="zh-CN"/>
              </w:rPr>
              <w:t>台</w:t>
            </w:r>
          </w:p>
        </w:tc>
      </w:tr>
      <w:tr w14:paraId="31BB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9" w:type="dxa"/>
            <w:vAlign w:val="center"/>
          </w:tcPr>
          <w:p w14:paraId="0BA71AB9">
            <w:pPr>
              <w:spacing w:line="360" w:lineRule="auto"/>
              <w:jc w:val="center"/>
              <w:rPr>
                <w:rFonts w:ascii="宋体" w:hAnsi="宋体" w:cs="宋体"/>
                <w:color w:val="auto"/>
                <w:sz w:val="24"/>
              </w:rPr>
            </w:pPr>
            <w:r>
              <w:rPr>
                <w:rFonts w:hint="eastAsia" w:ascii="宋体" w:hAnsi="宋体" w:cs="宋体"/>
                <w:color w:val="auto"/>
                <w:sz w:val="24"/>
              </w:rPr>
              <w:t>3</w:t>
            </w:r>
          </w:p>
        </w:tc>
        <w:tc>
          <w:tcPr>
            <w:tcW w:w="1620" w:type="dxa"/>
            <w:vAlign w:val="center"/>
          </w:tcPr>
          <w:p w14:paraId="7E3B3C71">
            <w:pPr>
              <w:spacing w:line="360" w:lineRule="auto"/>
              <w:jc w:val="center"/>
              <w:rPr>
                <w:rFonts w:ascii="宋体" w:hAnsi="宋体" w:cs="宋体"/>
                <w:color w:val="auto"/>
                <w:kern w:val="0"/>
                <w:sz w:val="24"/>
              </w:rPr>
            </w:pPr>
            <w:r>
              <w:rPr>
                <w:rFonts w:hint="eastAsia" w:ascii="宋体" w:hAnsi="宋体" w:cs="宋体"/>
                <w:color w:val="auto"/>
                <w:kern w:val="0"/>
                <w:sz w:val="24"/>
              </w:rPr>
              <w:t>手动轮椅车</w:t>
            </w:r>
          </w:p>
        </w:tc>
        <w:tc>
          <w:tcPr>
            <w:tcW w:w="5575" w:type="dxa"/>
            <w:vAlign w:val="center"/>
          </w:tcPr>
          <w:p w14:paraId="44798E9E">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w:t>
            </w:r>
            <w:r>
              <w:rPr>
                <w:rFonts w:hint="eastAsia" w:ascii="宋体" w:hAnsi="宋体" w:eastAsia="宋体" w:cs="宋体"/>
                <w:color w:val="auto"/>
                <w:sz w:val="24"/>
                <w:lang w:val="zh-CN" w:eastAsia="zh-CN"/>
              </w:rPr>
              <w:t>手动轮椅车（钢管）型号：软座</w:t>
            </w:r>
          </w:p>
          <w:p w14:paraId="647CA5E9">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采用直径</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22MM钢管喷涂车架</w:t>
            </w:r>
          </w:p>
          <w:p w14:paraId="66CCABF5">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zh-CN" w:eastAsia="zh-CN"/>
              </w:rPr>
              <w:t>后轮采用注塑一体免充气轮胎</w:t>
            </w:r>
          </w:p>
          <w:p w14:paraId="2B1BA656">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zh-CN" w:eastAsia="zh-CN"/>
              </w:rPr>
              <w:t>踏板高度可调</w:t>
            </w:r>
          </w:p>
          <w:p w14:paraId="64D2EC1B">
            <w:pPr>
              <w:spacing w:line="360" w:lineRule="auto"/>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zh-CN" w:eastAsia="zh-CN"/>
              </w:rPr>
              <w:t>座宽尺寸：46CM±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64C063E3">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zh-CN" w:eastAsia="zh-CN"/>
              </w:rPr>
              <w:t>座深44CM±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11DB282F">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7、</w:t>
            </w:r>
            <w:r>
              <w:rPr>
                <w:rFonts w:hint="eastAsia" w:ascii="宋体" w:hAnsi="宋体" w:eastAsia="宋体" w:cs="宋体"/>
                <w:color w:val="auto"/>
                <w:sz w:val="24"/>
                <w:lang w:val="zh-CN" w:eastAsia="zh-CN"/>
              </w:rPr>
              <w:t>总宽：66CM±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3AAC10BB">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8、</w:t>
            </w:r>
            <w:r>
              <w:rPr>
                <w:rFonts w:hint="eastAsia" w:ascii="宋体" w:hAnsi="宋体" w:eastAsia="宋体" w:cs="宋体"/>
                <w:color w:val="auto"/>
                <w:sz w:val="24"/>
                <w:lang w:val="zh-CN" w:eastAsia="zh-CN"/>
              </w:rPr>
              <w:t>折叠尺寸26CM±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76D3674E">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9、</w:t>
            </w:r>
            <w:r>
              <w:rPr>
                <w:rFonts w:hint="eastAsia" w:ascii="宋体" w:hAnsi="宋体" w:eastAsia="宋体" w:cs="宋体"/>
                <w:color w:val="auto"/>
                <w:sz w:val="24"/>
                <w:lang w:val="zh-CN" w:eastAsia="zh-CN"/>
              </w:rPr>
              <w:t>座位高度：44CM±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51D66C79">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10、</w:t>
            </w:r>
            <w:r>
              <w:rPr>
                <w:rFonts w:hint="eastAsia" w:ascii="宋体" w:hAnsi="宋体" w:eastAsia="宋体" w:cs="宋体"/>
                <w:color w:val="auto"/>
                <w:sz w:val="24"/>
                <w:lang w:val="zh-CN" w:eastAsia="zh-CN"/>
              </w:rPr>
              <w:t>靠背高度：40CM±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16871B02">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11、</w:t>
            </w:r>
            <w:r>
              <w:rPr>
                <w:rFonts w:hint="eastAsia" w:ascii="宋体" w:hAnsi="宋体" w:eastAsia="宋体" w:cs="宋体"/>
                <w:color w:val="auto"/>
                <w:sz w:val="24"/>
                <w:lang w:val="zh-CN" w:eastAsia="zh-CN"/>
              </w:rPr>
              <w:t>总长：103CM±</w:t>
            </w:r>
            <w:r>
              <w:rPr>
                <w:rFonts w:hint="eastAsia" w:ascii="宋体" w:hAnsi="宋体" w:cs="宋体"/>
                <w:color w:val="auto"/>
                <w:sz w:val="24"/>
                <w:lang w:val="en-US" w:eastAsia="zh-CN"/>
              </w:rPr>
              <w:t>2</w:t>
            </w:r>
            <w:r>
              <w:rPr>
                <w:rFonts w:hint="eastAsia" w:ascii="宋体" w:hAnsi="宋体" w:eastAsia="宋体" w:cs="宋体"/>
                <w:color w:val="auto"/>
                <w:sz w:val="24"/>
                <w:lang w:val="zh-CN" w:eastAsia="zh-CN"/>
              </w:rPr>
              <w:t>CM</w:t>
            </w:r>
          </w:p>
          <w:p w14:paraId="07CCEB21">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12、</w:t>
            </w:r>
            <w:r>
              <w:rPr>
                <w:rFonts w:hint="eastAsia" w:ascii="宋体" w:hAnsi="宋体" w:eastAsia="宋体" w:cs="宋体"/>
                <w:color w:val="auto"/>
                <w:sz w:val="24"/>
                <w:lang w:val="zh-CN" w:eastAsia="zh-CN"/>
              </w:rPr>
              <w:t>承重：</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100KG</w:t>
            </w:r>
          </w:p>
          <w:p w14:paraId="40A5E454">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13、</w:t>
            </w:r>
            <w:r>
              <w:rPr>
                <w:rFonts w:hint="eastAsia" w:ascii="宋体" w:hAnsi="宋体" w:eastAsia="宋体" w:cs="宋体"/>
                <w:color w:val="auto"/>
                <w:sz w:val="24"/>
                <w:lang w:val="zh-CN" w:eastAsia="zh-CN"/>
              </w:rPr>
              <w:t>前后轮尺寸：6/24寸</w:t>
            </w:r>
          </w:p>
          <w:p w14:paraId="096E6568">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14、</w:t>
            </w:r>
            <w:r>
              <w:rPr>
                <w:rFonts w:hint="eastAsia" w:ascii="宋体" w:hAnsi="宋体" w:eastAsia="宋体" w:cs="宋体"/>
                <w:color w:val="auto"/>
                <w:sz w:val="24"/>
                <w:lang w:val="zh-CN" w:eastAsia="zh-CN"/>
              </w:rPr>
              <w:t>整体车架是：</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1.0厚（没喷塑之前的）</w:t>
            </w:r>
          </w:p>
          <w:p w14:paraId="0D9C46A1">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15、</w:t>
            </w:r>
            <w:r>
              <w:rPr>
                <w:rFonts w:hint="eastAsia" w:ascii="宋体" w:hAnsi="宋体" w:eastAsia="宋体" w:cs="宋体"/>
                <w:color w:val="auto"/>
                <w:sz w:val="24"/>
                <w:lang w:val="zh-CN" w:eastAsia="zh-CN"/>
              </w:rPr>
              <w:t>坐垫下方车架：</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1.2厚（没喷塑之前的）</w:t>
            </w:r>
          </w:p>
          <w:p w14:paraId="0F05BE45">
            <w:pPr>
              <w:spacing w:line="360" w:lineRule="auto"/>
              <w:jc w:val="left"/>
              <w:rPr>
                <w:rFonts w:hint="eastAsia" w:ascii="宋体" w:hAnsi="宋体" w:eastAsia="宋体" w:cs="宋体"/>
                <w:color w:val="auto"/>
                <w:sz w:val="24"/>
                <w:lang w:val="zh-CN" w:eastAsia="zh-CN"/>
              </w:rPr>
            </w:pPr>
            <w:r>
              <w:rPr>
                <w:rFonts w:hint="eastAsia" w:ascii="宋体" w:hAnsi="宋体" w:cs="宋体"/>
                <w:color w:val="auto"/>
                <w:sz w:val="24"/>
                <w:lang w:val="en-US" w:eastAsia="zh-CN"/>
              </w:rPr>
              <w:t>16、</w:t>
            </w:r>
            <w:r>
              <w:rPr>
                <w:rFonts w:hint="eastAsia" w:ascii="宋体" w:hAnsi="宋体" w:eastAsia="宋体" w:cs="宋体"/>
                <w:color w:val="auto"/>
                <w:sz w:val="24"/>
                <w:lang w:val="zh-CN" w:eastAsia="zh-CN"/>
              </w:rPr>
              <w:t>车架轱辘套管位置总厚度：</w:t>
            </w:r>
            <w:r>
              <w:rPr>
                <w:rFonts w:hint="eastAsia" w:ascii="宋体" w:hAnsi="宋体" w:cs="宋体"/>
                <w:color w:val="auto"/>
                <w:sz w:val="24"/>
                <w:lang w:val="en-US" w:eastAsia="zh-CN"/>
              </w:rPr>
              <w:t>≥</w:t>
            </w:r>
            <w:r>
              <w:rPr>
                <w:rFonts w:hint="eastAsia" w:ascii="宋体" w:hAnsi="宋体" w:eastAsia="宋体" w:cs="宋体"/>
                <w:color w:val="auto"/>
                <w:sz w:val="24"/>
                <w:lang w:val="zh-CN" w:eastAsia="zh-CN"/>
              </w:rPr>
              <w:t>1.8厚（没喷塑之前的）</w:t>
            </w:r>
          </w:p>
        </w:tc>
        <w:tc>
          <w:tcPr>
            <w:tcW w:w="835" w:type="dxa"/>
            <w:vAlign w:val="center"/>
          </w:tcPr>
          <w:p w14:paraId="09EFC6D4">
            <w:pPr>
              <w:widowControl/>
              <w:jc w:val="center"/>
              <w:textAlignment w:val="center"/>
              <w:rPr>
                <w:rFonts w:hint="default" w:ascii="宋体" w:hAnsi="宋体" w:cs="宋体"/>
                <w:color w:val="auto"/>
                <w:sz w:val="24"/>
                <w:lang w:val="en-US"/>
              </w:rPr>
            </w:pPr>
            <w:r>
              <w:rPr>
                <w:rFonts w:hint="eastAsia" w:ascii="宋体" w:hAnsi="宋体" w:cs="宋体"/>
                <w:color w:val="auto"/>
                <w:sz w:val="24"/>
                <w:lang w:val="en-US" w:eastAsia="zh-CN"/>
              </w:rPr>
              <w:t>10</w:t>
            </w:r>
          </w:p>
        </w:tc>
        <w:tc>
          <w:tcPr>
            <w:tcW w:w="832" w:type="dxa"/>
            <w:vAlign w:val="center"/>
          </w:tcPr>
          <w:p w14:paraId="4F14C920">
            <w:pPr>
              <w:widowControl/>
              <w:jc w:val="center"/>
              <w:textAlignment w:val="center"/>
              <w:rPr>
                <w:rFonts w:ascii="宋体" w:hAnsi="宋体" w:cs="宋体"/>
                <w:color w:val="auto"/>
                <w:sz w:val="24"/>
              </w:rPr>
            </w:pPr>
            <w:r>
              <w:rPr>
                <w:rFonts w:hint="eastAsia" w:ascii="宋体" w:hAnsi="宋体" w:cs="宋体"/>
                <w:color w:val="auto"/>
                <w:sz w:val="24"/>
                <w:lang w:val="en-US" w:eastAsia="zh-CN"/>
              </w:rPr>
              <w:t>台</w:t>
            </w:r>
          </w:p>
        </w:tc>
      </w:tr>
    </w:tbl>
    <w:p w14:paraId="3C73B4E7">
      <w:pPr>
        <w:adjustRightInd w:val="0"/>
        <w:outlineLvl w:val="1"/>
        <w:rPr>
          <w:rFonts w:hint="default" w:ascii="宋体" w:hAnsi="宋体" w:eastAsia="宋体" w:cs="宋体"/>
          <w:b/>
          <w:bCs/>
          <w:color w:val="FF0000"/>
          <w:kern w:val="0"/>
          <w:sz w:val="24"/>
          <w:lang w:val="en-US" w:eastAsia="zh-CN"/>
        </w:rPr>
      </w:pPr>
      <w:r>
        <w:rPr>
          <w:rFonts w:hint="eastAsia" w:ascii="宋体" w:hAnsi="宋体" w:cs="宋体"/>
          <w:b/>
          <w:bCs/>
          <w:color w:val="auto"/>
          <w:kern w:val="0"/>
          <w:sz w:val="24"/>
        </w:rPr>
        <w:t>注：</w:t>
      </w:r>
      <w:r>
        <w:rPr>
          <w:rFonts w:hint="eastAsia" w:ascii="宋体" w:hAnsi="宋体" w:cs="宋体"/>
          <w:b/>
          <w:bCs/>
          <w:color w:val="FF0000"/>
          <w:sz w:val="24"/>
        </w:rPr>
        <w:t>以上参数</w:t>
      </w:r>
      <w:r>
        <w:rPr>
          <w:rFonts w:hint="eastAsia" w:ascii="宋体" w:hAnsi="宋体" w:cs="宋体"/>
          <w:b/>
          <w:bCs/>
          <w:color w:val="FF0000"/>
          <w:sz w:val="24"/>
          <w:lang w:val="en-US" w:eastAsia="zh-CN"/>
        </w:rPr>
        <w:t>须完全满足</w:t>
      </w:r>
      <w:r>
        <w:rPr>
          <w:rFonts w:hint="eastAsia" w:ascii="宋体" w:hAnsi="宋体" w:cs="宋体"/>
          <w:b/>
          <w:bCs/>
          <w:color w:val="FF0000"/>
          <w:sz w:val="24"/>
        </w:rPr>
        <w:t>，不允许有负偏离，否则作无效比选处理</w:t>
      </w:r>
      <w:r>
        <w:rPr>
          <w:rFonts w:hint="eastAsia" w:ascii="黑体" w:hAnsi="黑体" w:eastAsia="黑体" w:cs="黑体"/>
          <w:b/>
          <w:bCs/>
          <w:color w:val="FF0000"/>
          <w:sz w:val="24"/>
          <w:szCs w:val="24"/>
          <w:highlight w:val="none"/>
          <w:lang w:eastAsia="zh-CN"/>
        </w:rPr>
        <w:t>。</w:t>
      </w:r>
    </w:p>
    <w:p w14:paraId="4CE89FD8">
      <w:pPr>
        <w:rPr>
          <w:rFonts w:hint="eastAsia"/>
          <w:lang w:val="en-US" w:eastAsia="zh-CN"/>
        </w:rPr>
      </w:pPr>
    </w:p>
    <w:p w14:paraId="6362CBE0">
      <w:pPr>
        <w:rPr>
          <w:rFonts w:hint="eastAsia"/>
          <w:sz w:val="24"/>
          <w:szCs w:val="32"/>
          <w:lang w:val="en-US" w:eastAsia="zh-CN"/>
        </w:rPr>
      </w:pPr>
      <w:r>
        <w:rPr>
          <w:rFonts w:hint="eastAsia"/>
          <w:sz w:val="24"/>
          <w:szCs w:val="32"/>
          <w:lang w:val="en-US" w:eastAsia="zh-CN"/>
        </w:rPr>
        <w:t>二：商务要求：</w:t>
      </w:r>
    </w:p>
    <w:p w14:paraId="68705AFA">
      <w:pPr>
        <w:rPr>
          <w:rFonts w:hint="eastAsia" w:eastAsia="宋体" w:cs="Times New Roman"/>
          <w:sz w:val="24"/>
          <w:szCs w:val="32"/>
          <w:lang w:val="en-US" w:eastAsia="zh-CN"/>
        </w:rPr>
      </w:pPr>
      <w:r>
        <w:rPr>
          <w:rFonts w:hint="eastAsia" w:eastAsia="宋体" w:cs="Times New Roman"/>
          <w:sz w:val="24"/>
          <w:szCs w:val="32"/>
          <w:lang w:val="en-US" w:eastAsia="zh-CN"/>
        </w:rPr>
        <w:t>1、交货时间：2024年9月25日之前。</w:t>
      </w:r>
    </w:p>
    <w:p w14:paraId="54C87B7E">
      <w:pPr>
        <w:rPr>
          <w:rFonts w:hint="default" w:eastAsia="宋体" w:cs="Times New Roman"/>
          <w:sz w:val="24"/>
          <w:szCs w:val="32"/>
          <w:lang w:val="en-US" w:eastAsia="zh-CN"/>
        </w:rPr>
      </w:pPr>
      <w:r>
        <w:rPr>
          <w:rFonts w:hint="eastAsia" w:eastAsia="宋体" w:cs="Times New Roman"/>
          <w:sz w:val="24"/>
          <w:szCs w:val="32"/>
          <w:lang w:val="en-US" w:eastAsia="zh-CN"/>
        </w:rPr>
        <w:t>2、质保期：不少于1年。</w:t>
      </w:r>
    </w:p>
    <w:p w14:paraId="2A3F718C">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4A9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3D18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93D18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TU0YTQwOWJlYjIyNWJhM2FlOGViMmEwZmU0YWUifQ=="/>
  </w:docVars>
  <w:rsids>
    <w:rsidRoot w:val="6A810AA6"/>
    <w:rsid w:val="039B6BC4"/>
    <w:rsid w:val="30977749"/>
    <w:rsid w:val="4EEE18B9"/>
    <w:rsid w:val="580B7C81"/>
    <w:rsid w:val="6A810AA6"/>
    <w:rsid w:val="6BC7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1732</Words>
  <Characters>1944</Characters>
  <Lines>0</Lines>
  <Paragraphs>0</Paragraphs>
  <TotalTime>0</TotalTime>
  <ScaleCrop>false</ScaleCrop>
  <LinksUpToDate>false</LinksUpToDate>
  <CharactersWithSpaces>1955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2024-09-14T02:01:00Z</dcterms:created>
  <dc:creator>蛊</dc:creator>
  <cp:lastModifiedBy>ASUS</cp:lastModifiedBy>
  <dcterms:modified xsi:type="dcterms:W3CDTF">2024-09-14T03:38:31Z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B0E7F856FA83422D941DFD74C1A030E1_13</vt:lpwstr>
  </property>
</Properties>
</file>